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1F" w:rsidRPr="000D7342" w:rsidRDefault="000D7342" w:rsidP="000D7342">
      <w:pPr>
        <w:jc w:val="center"/>
        <w:rPr>
          <w:b/>
          <w:u w:val="single"/>
        </w:rPr>
      </w:pPr>
      <w:r w:rsidRPr="000D7342">
        <w:rPr>
          <w:rFonts w:hint="eastAsia"/>
          <w:b/>
          <w:u w:val="single"/>
        </w:rPr>
        <w:t>A small inequality problem</w:t>
      </w:r>
    </w:p>
    <w:p w:rsidR="000D7342" w:rsidRPr="000D7342" w:rsidRDefault="000D7342" w:rsidP="000D7342">
      <w:pPr>
        <w:jc w:val="right"/>
        <w:rPr>
          <w:b/>
        </w:rPr>
      </w:pPr>
      <w:proofErr w:type="spellStart"/>
      <w:r w:rsidRPr="000D7342">
        <w:rPr>
          <w:rFonts w:hint="eastAsia"/>
          <w:b/>
        </w:rPr>
        <w:t>Yue</w:t>
      </w:r>
      <w:proofErr w:type="spellEnd"/>
      <w:r w:rsidRPr="000D7342">
        <w:rPr>
          <w:rFonts w:hint="eastAsia"/>
          <w:b/>
        </w:rPr>
        <w:t xml:space="preserve"> Kwok Choy</w:t>
      </w:r>
    </w:p>
    <w:p w:rsidR="000D7342" w:rsidRDefault="00C40AA6">
      <w:r>
        <w:tab/>
      </w:r>
      <w:r w:rsidR="000D7342">
        <w:rPr>
          <w:rFonts w:hint="eastAsia"/>
        </w:rPr>
        <w:t>This is a small inequality sent to me by Bowen Kwan</w:t>
      </w:r>
      <w:r>
        <w:rPr>
          <w:rFonts w:hint="eastAsia"/>
        </w:rPr>
        <w:t xml:space="preserve"> to prove:</w:t>
      </w:r>
    </w:p>
    <w:p w:rsidR="00C40AA6" w:rsidRPr="00A74956" w:rsidRDefault="00C40AA6">
      <m:oMath>
        <m:r>
          <m:rPr>
            <m:sty m:val="p"/>
          </m:rPr>
          <w:rPr>
            <w:rFonts w:ascii="Cambria Math" w:hAnsi="Cambria Math"/>
          </w:rPr>
          <m:t xml:space="preserve"> 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g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d>
          </m:e>
        </m:rad>
        <m:r>
          <m:rPr>
            <m:sty m:val="p"/>
          </m:rPr>
          <w:rPr>
            <w:rFonts w:ascii="Cambria Math" w:hAnsi="Cambria Math"/>
          </w:rPr>
          <m:t>≥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g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g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</m:e>
        </m:rad>
        <m:r>
          <m:rPr>
            <m:sty m:val="p"/>
          </m:rPr>
          <w:rPr>
            <w:rFonts w:ascii="Cambria Math" w:hAnsi="Cambria Math"/>
          </w:rPr>
          <m:t xml:space="preserve">    where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≥0 </m:t>
        </m:r>
      </m:oMath>
      <w:r w:rsidR="00A74956">
        <w:rPr>
          <w:rFonts w:hint="eastAsia"/>
          <w:noProof/>
        </w:rPr>
        <w:tab/>
      </w:r>
      <w:r w:rsidR="00A74956">
        <w:rPr>
          <w:noProof/>
        </w:rPr>
        <w:tab/>
      </w:r>
      <w:r w:rsidR="00A74956" w:rsidRPr="00A74956">
        <w:rPr>
          <w:b/>
          <w:noProof/>
        </w:rPr>
        <w:t>…</w:t>
      </w:r>
      <w:r w:rsidR="00A74956" w:rsidRPr="00A74956">
        <w:rPr>
          <w:rFonts w:hint="eastAsia"/>
          <w:b/>
          <w:noProof/>
        </w:rPr>
        <w:t>.</w:t>
      </w:r>
      <w:r w:rsidR="00A74956" w:rsidRPr="00A74956">
        <w:rPr>
          <w:b/>
          <w:noProof/>
        </w:rPr>
        <w:tab/>
      </w:r>
      <w:r w:rsidR="00A74956" w:rsidRPr="00A74956">
        <w:rPr>
          <w:rFonts w:hint="eastAsia"/>
          <w:b/>
          <w:noProof/>
        </w:rPr>
        <w:t>(1)</w:t>
      </w:r>
    </w:p>
    <w:p w:rsidR="00C40AA6" w:rsidRDefault="00A64E9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2725420</wp:posOffset>
            </wp:positionH>
            <wp:positionV relativeFrom="paragraph">
              <wp:posOffset>30480</wp:posOffset>
            </wp:positionV>
            <wp:extent cx="3622040" cy="2717165"/>
            <wp:effectExtent l="19050" t="0" r="0" b="0"/>
            <wp:wrapTight wrapText="bothSides">
              <wp:wrapPolygon edited="0">
                <wp:start x="-114" y="0"/>
                <wp:lineTo x="-114" y="21504"/>
                <wp:lineTo x="21585" y="21504"/>
                <wp:lineTo x="21585" y="0"/>
                <wp:lineTo x="-114" y="0"/>
              </wp:wrapPolygon>
            </wp:wrapTight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040" cy="271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3E7D" w:rsidRDefault="00EF6C80">
      <w:r>
        <w:rPr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26" type="#_x0000_t15" style="position:absolute;margin-left:17.2pt;margin-top:9.35pt;width:194.05pt;height:134.6pt;z-index:251657215" filled="f" strokeweight="1pt"/>
        </w:pict>
      </w:r>
    </w:p>
    <w:p w:rsidR="00DE708F" w:rsidRDefault="00C40AA6">
      <w:r>
        <w:rPr>
          <w:rFonts w:hint="eastAsia"/>
        </w:rPr>
        <w:t xml:space="preserve">     </w:t>
      </w:r>
      <w:r w:rsidR="00BF3E7D">
        <w:rPr>
          <w:rFonts w:hint="eastAsia"/>
        </w:rPr>
        <w:t xml:space="preserve">My last </w:t>
      </w:r>
      <w:r w:rsidR="0032157A">
        <w:rPr>
          <w:rFonts w:hint="eastAsia"/>
        </w:rPr>
        <w:t>teaching day</w:t>
      </w:r>
      <w:r w:rsidR="00DE708F">
        <w:rPr>
          <w:rFonts w:hint="eastAsia"/>
        </w:rPr>
        <w:t xml:space="preserve"> with</w:t>
      </w:r>
    </w:p>
    <w:p w:rsidR="00DE708F" w:rsidRDefault="00BF3E7D" w:rsidP="00DE708F">
      <w:pPr>
        <w:ind w:firstLineChars="250" w:firstLine="600"/>
      </w:pPr>
      <w:proofErr w:type="gramStart"/>
      <w:r>
        <w:rPr>
          <w:rFonts w:hint="eastAsia"/>
        </w:rPr>
        <w:t>7E class.</w:t>
      </w:r>
      <w:proofErr w:type="gramEnd"/>
      <w:r>
        <w:rPr>
          <w:rFonts w:hint="eastAsia"/>
        </w:rPr>
        <w:t xml:space="preserve"> I acted as a </w:t>
      </w:r>
    </w:p>
    <w:p w:rsidR="00BF3E7D" w:rsidRDefault="00BF3E7D" w:rsidP="00DE708F">
      <w:pPr>
        <w:ind w:firstLineChars="250" w:firstLine="600"/>
      </w:pPr>
      <w:proofErr w:type="gramStart"/>
      <w:r>
        <w:rPr>
          <w:rFonts w:hint="eastAsia"/>
        </w:rPr>
        <w:t>substitute</w:t>
      </w:r>
      <w:proofErr w:type="gramEnd"/>
      <w:r>
        <w:rPr>
          <w:rFonts w:hint="eastAsia"/>
        </w:rPr>
        <w:t xml:space="preserve"> teacher for</w:t>
      </w:r>
    </w:p>
    <w:p w:rsidR="00E6719F" w:rsidRDefault="00BF3E7D"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this</w:t>
      </w:r>
      <w:proofErr w:type="gramEnd"/>
      <w:r>
        <w:rPr>
          <w:rFonts w:hint="eastAsia"/>
        </w:rPr>
        <w:t xml:space="preserve"> </w:t>
      </w:r>
      <w:r w:rsidR="00E6719F">
        <w:rPr>
          <w:rFonts w:hint="eastAsia"/>
        </w:rPr>
        <w:t>vivacious</w:t>
      </w:r>
      <w:r>
        <w:rPr>
          <w:rFonts w:hint="eastAsia"/>
        </w:rPr>
        <w:t xml:space="preserve"> </w:t>
      </w:r>
      <w:r w:rsidR="00E6719F">
        <w:rPr>
          <w:rFonts w:hint="eastAsia"/>
        </w:rPr>
        <w:t xml:space="preserve">and </w:t>
      </w:r>
      <w:r w:rsidR="000C347E">
        <w:rPr>
          <w:rFonts w:hint="eastAsia"/>
        </w:rPr>
        <w:t>happy</w:t>
      </w:r>
      <w:r w:rsidR="00E6719F">
        <w:rPr>
          <w:rFonts w:hint="eastAsia"/>
        </w:rPr>
        <w:t xml:space="preserve"> </w:t>
      </w:r>
      <w:r>
        <w:rPr>
          <w:rFonts w:hint="eastAsia"/>
        </w:rPr>
        <w:t xml:space="preserve">class </w:t>
      </w:r>
    </w:p>
    <w:p w:rsidR="00DF6370" w:rsidRDefault="00BF3E7D" w:rsidP="00E6719F">
      <w:pPr>
        <w:ind w:firstLineChars="250" w:firstLine="600"/>
      </w:pPr>
      <w:proofErr w:type="gramStart"/>
      <w:r>
        <w:rPr>
          <w:rFonts w:hint="eastAsia"/>
        </w:rPr>
        <w:t>after</w:t>
      </w:r>
      <w:proofErr w:type="gramEnd"/>
      <w:r>
        <w:rPr>
          <w:rFonts w:hint="eastAsia"/>
        </w:rPr>
        <w:t xml:space="preserve"> my</w:t>
      </w:r>
      <w:r w:rsidR="00DE708F">
        <w:rPr>
          <w:rFonts w:hint="eastAsia"/>
        </w:rPr>
        <w:t xml:space="preserve"> </w:t>
      </w:r>
      <w:r>
        <w:rPr>
          <w:rFonts w:hint="eastAsia"/>
        </w:rPr>
        <w:t>retirement</w:t>
      </w:r>
      <w:r w:rsidR="00E6719F">
        <w:rPr>
          <w:rFonts w:hint="eastAsia"/>
        </w:rPr>
        <w:t xml:space="preserve"> in 2009</w:t>
      </w:r>
      <w:r>
        <w:rPr>
          <w:rFonts w:hint="eastAsia"/>
        </w:rPr>
        <w:t>.</w:t>
      </w:r>
    </w:p>
    <w:p w:rsidR="00BF3E7D" w:rsidRDefault="00BF3E7D" w:rsidP="00DF6370">
      <w:pPr>
        <w:ind w:firstLineChars="200" w:firstLine="480"/>
      </w:pPr>
      <w:r>
        <w:rPr>
          <w:rFonts w:hint="eastAsia"/>
        </w:rPr>
        <w:t xml:space="preserve"> (Photo taken </w:t>
      </w:r>
      <w:r w:rsidR="00DE708F">
        <w:rPr>
          <w:rFonts w:hint="eastAsia"/>
        </w:rPr>
        <w:t>in</w:t>
      </w:r>
      <w:r>
        <w:rPr>
          <w:rFonts w:hint="eastAsia"/>
        </w:rPr>
        <w:t xml:space="preserve"> 2011)</w:t>
      </w:r>
    </w:p>
    <w:p w:rsidR="00C40AA6" w:rsidRDefault="00C40AA6"/>
    <w:p w:rsidR="00BF3E7D" w:rsidRDefault="00BF3E7D"/>
    <w:p w:rsidR="00BF3E7D" w:rsidRDefault="00BF3E7D"/>
    <w:p w:rsidR="00BF3E7D" w:rsidRDefault="00BF3E7D"/>
    <w:p w:rsidR="00BF3E7D" w:rsidRPr="00DF6370" w:rsidRDefault="00BF3E7D"/>
    <w:p w:rsidR="00BF3E7D" w:rsidRDefault="00BF3E7D">
      <w:r>
        <w:tab/>
      </w:r>
      <w:r>
        <w:rPr>
          <w:rFonts w:hint="eastAsia"/>
        </w:rPr>
        <w:tab/>
        <w:t xml:space="preserve">My first attempt is to use brute force to </w:t>
      </w:r>
      <w:r w:rsidR="006E289F">
        <w:rPr>
          <w:rFonts w:hint="eastAsia"/>
        </w:rPr>
        <w:t>cube</w:t>
      </w:r>
      <w:r>
        <w:rPr>
          <w:rFonts w:hint="eastAsia"/>
        </w:rPr>
        <w:t xml:space="preserve"> the inequality:</w:t>
      </w:r>
    </w:p>
    <w:p w:rsidR="009B5858" w:rsidRDefault="00EF6C80">
      <m:oMathPara>
        <m:oMath>
          <m:rad>
            <m:radPr>
              <m:ctrlPr>
                <w:rPr>
                  <w:rFonts w:ascii="Cambria Math" w:hAnsi="Cambria Math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g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d>
            </m:e>
          </m:rad>
          <m:r>
            <m:rPr>
              <m:sty m:val="p"/>
            </m:rPr>
            <w:rPr>
              <w:rFonts w:ascii="Cambria Math" w:hAnsi="Cambria Math"/>
            </w:rPr>
            <m:t>≥</m:t>
          </m:r>
          <m:rad>
            <m:radPr>
              <m:ctrlPr>
                <w:rPr>
                  <w:rFonts w:ascii="Cambria Math" w:hAnsi="Cambria Math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g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rad>
          <m:r>
            <m:rPr>
              <m:sty m:val="p"/>
            </m:rPr>
            <w:rPr>
              <w:rFonts w:ascii="Cambria Math" w:hAnsi="Cambria Math"/>
            </w:rPr>
            <m:t>+</m:t>
          </m:r>
          <m:rad>
            <m:radPr>
              <m:ctrlPr>
                <w:rPr>
                  <w:rFonts w:ascii="Cambria Math" w:hAnsi="Cambria Math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g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rad>
        </m:oMath>
      </m:oMathPara>
    </w:p>
    <w:p w:rsidR="006E289F" w:rsidRDefault="006E289F">
      <m:oMathPara>
        <m:oMath>
          <m:r>
            <m:rPr>
              <m:sty m:val="p"/>
            </m:rPr>
            <w:rPr>
              <w:rFonts w:ascii="Cambria Math" w:hAnsi="Cambria Math"/>
            </w:rPr>
            <m:t>⇔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≥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ad>
                    <m:radPr>
                      <m:ctrlPr>
                        <w:rPr>
                          <w:rFonts w:ascii="Cambria Math" w:hAnsi="Cambria Math"/>
                        </w:rPr>
                      </m:ctrlPr>
                    </m:radPr>
                    <m:deg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deg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ad>
                    <m:radPr>
                      <m:ctrlPr>
                        <w:rPr>
                          <w:rFonts w:ascii="Cambria Math" w:hAnsi="Cambria Math"/>
                        </w:rPr>
                      </m:ctrlPr>
                    </m:radPr>
                    <m:deg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deg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</m:e>
                  </m:ra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6E289F" w:rsidRPr="006E289F" w:rsidRDefault="009B5858">
      <w:r>
        <w:rPr>
          <w:rFonts w:hint="eastAsia"/>
        </w:rPr>
        <w:t xml:space="preserve">                </w:t>
      </w:r>
      <m:oMath>
        <m:r>
          <m:rPr>
            <m:sty m:val="p"/>
          </m:rPr>
          <w:rPr>
            <w:rFonts w:ascii="Cambria Math" w:hAnsi="Cambria Math"/>
          </w:rPr>
          <m:t>⇔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</w:p>
    <w:p w:rsidR="006E289F" w:rsidRDefault="009B5858">
      <w:r>
        <w:rPr>
          <w:rFonts w:hint="eastAsia"/>
        </w:rPr>
        <w:t xml:space="preserve">                   </w:t>
      </w:r>
      <m:oMath>
        <m:r>
          <m:rPr>
            <m:sty m:val="p"/>
          </m:rPr>
          <w:rPr>
            <w:rFonts w:ascii="Cambria Math" w:hAnsi="Cambria Math"/>
          </w:rPr>
          <m:t>≥3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/>
                      </w:rPr>
                    </m:ctrlPr>
                  </m:radPr>
                  <m:deg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deg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rad>
          </m:e>
        </m:d>
        <m:r>
          <m:rPr>
            <m:sty m:val="p"/>
          </m:rPr>
          <w:rPr>
            <w:rFonts w:ascii="Cambria Math" w:hAnsi="Cambria Math"/>
          </w:rPr>
          <m:t>+3</m:t>
        </m:r>
        <m:d>
          <m:dPr>
            <m:ctrlPr>
              <w:rPr>
                <w:rFonts w:ascii="Cambria Math" w:hAnsi="Cambria Math"/>
              </w:rPr>
            </m:ctrlPr>
          </m:dPr>
          <m:e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deg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rad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/>
                      </w:rPr>
                    </m:ctrlPr>
                  </m:radPr>
                  <m:deg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5A5241" w:rsidRPr="009B5858" w:rsidRDefault="009B5858" w:rsidP="005A5241">
      <w:r>
        <w:rPr>
          <w:rFonts w:hint="eastAsia"/>
        </w:rPr>
        <w:t xml:space="preserve">                </w:t>
      </w:r>
      <m:oMath>
        <m:r>
          <m:rPr>
            <m:sty m:val="p"/>
          </m:rPr>
          <w:rPr>
            <w:rFonts w:ascii="Cambria Math" w:hAnsi="Cambria Math"/>
          </w:rPr>
          <m:t>⇔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</w:p>
    <w:p w:rsidR="005A5241" w:rsidRDefault="009B5858">
      <w:r>
        <w:rPr>
          <w:rFonts w:hint="eastAsia"/>
        </w:rPr>
        <w:t xml:space="preserve">                   </w:t>
      </w:r>
      <m:oMath>
        <m:r>
          <m:rPr>
            <m:sty m:val="p"/>
          </m:rPr>
          <w:rPr>
            <w:rFonts w:ascii="Cambria Math" w:hAnsi="Cambria Math"/>
          </w:rPr>
          <m:t>≥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g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g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</m:e>
        </m:rad>
      </m:oMath>
    </w:p>
    <w:p w:rsidR="005A5241" w:rsidRDefault="005A5241">
      <w:proofErr w:type="gramStart"/>
      <w:r>
        <w:rPr>
          <w:rFonts w:hint="eastAsia"/>
        </w:rPr>
        <w:t>which</w:t>
      </w:r>
      <w:proofErr w:type="gramEnd"/>
      <w:r>
        <w:rPr>
          <w:rFonts w:hint="eastAsia"/>
        </w:rPr>
        <w:t xml:space="preserve"> is obviously true by using </w:t>
      </w:r>
      <w:r w:rsidR="00B2745C">
        <w:rPr>
          <w:rFonts w:hint="eastAsia"/>
        </w:rPr>
        <w:t xml:space="preserve"> </w:t>
      </w:r>
      <w:r>
        <w:rPr>
          <w:rFonts w:hint="eastAsia"/>
        </w:rPr>
        <w:t>A.M.</w:t>
      </w:r>
      <w:r w:rsidR="00B2745C">
        <w:rPr>
          <w:rFonts w:hint="eastAsia"/>
        </w:rPr>
        <w:t xml:space="preserve"> </w:t>
      </w:r>
      <w:r>
        <w:rPr>
          <w:rFonts w:hint="eastAsia"/>
        </w:rPr>
        <w:sym w:font="Symbol" w:char="F0B3"/>
      </w:r>
      <w:r w:rsidR="00B2745C">
        <w:rPr>
          <w:rFonts w:hint="eastAsia"/>
        </w:rPr>
        <w:t xml:space="preserve"> </w:t>
      </w:r>
      <w:r>
        <w:rPr>
          <w:rFonts w:hint="eastAsia"/>
        </w:rPr>
        <w:t xml:space="preserve">G.M. </w:t>
      </w:r>
      <w:r w:rsidR="00B2745C">
        <w:rPr>
          <w:rFonts w:hint="eastAsia"/>
        </w:rPr>
        <w:t>twice.</w:t>
      </w:r>
    </w:p>
    <w:p w:rsidR="005A5241" w:rsidRDefault="005A5241"/>
    <w:p w:rsidR="009B5858" w:rsidRDefault="0044634D">
      <w:r>
        <w:rPr>
          <w:rFonts w:hint="eastAsia"/>
        </w:rPr>
        <w:t xml:space="preserve">Since Bowen hinted that whether this inequality can be </w:t>
      </w:r>
      <w:r w:rsidR="00CA7001">
        <w:rPr>
          <w:rFonts w:hint="eastAsia"/>
        </w:rPr>
        <w:t>proved by CBS inequality, so I began my second attempt.</w:t>
      </w:r>
      <w:r w:rsidR="001D4ECA">
        <w:rPr>
          <w:rFonts w:hint="eastAsia"/>
        </w:rPr>
        <w:t xml:space="preserve"> </w:t>
      </w:r>
      <w:r w:rsidR="009B5858">
        <w:rPr>
          <w:rFonts w:hint="eastAsia"/>
        </w:rPr>
        <w:t>Using t</w:t>
      </w:r>
      <w:r w:rsidR="001D4ECA">
        <w:rPr>
          <w:rFonts w:hint="eastAsia"/>
        </w:rPr>
        <w:t xml:space="preserve">he </w:t>
      </w:r>
      <w:r w:rsidR="009B5858">
        <w:rPr>
          <w:rFonts w:hint="eastAsia"/>
        </w:rPr>
        <w:t xml:space="preserve">CBS inequality for </w:t>
      </w:r>
      <w:r w:rsidR="001D4ECA">
        <w:rPr>
          <w:rFonts w:hint="eastAsia"/>
        </w:rPr>
        <w:t xml:space="preserve">two sets of variables case </w:t>
      </w:r>
      <w:r w:rsidR="009B5858">
        <w:rPr>
          <w:rFonts w:hint="eastAsia"/>
        </w:rPr>
        <w:t>looked easy:</w:t>
      </w:r>
    </w:p>
    <w:p w:rsidR="001D4ECA" w:rsidRDefault="001D4ECA">
      <w:r>
        <w:tab/>
      </w:r>
      <w:r>
        <w:rPr>
          <w:rFonts w:hint="eastAsia"/>
        </w:rPr>
        <w:tab/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≥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CA7001" w:rsidRDefault="00656EEA">
      <w:r>
        <w:rPr>
          <w:rFonts w:hint="eastAsia"/>
        </w:rPr>
        <w:t xml:space="preserve">Putting 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 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  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 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A74956">
        <w:rPr>
          <w:rFonts w:hint="eastAsia"/>
        </w:rPr>
        <w:t xml:space="preserve"> ,   we get:</w:t>
      </w:r>
    </w:p>
    <w:p w:rsidR="00A74956" w:rsidRDefault="00A74956">
      <w:r>
        <w:tab/>
      </w:r>
      <w:r>
        <w:rPr>
          <w:rFonts w:hint="eastAsia"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(a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≥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:rsidR="00CA7001" w:rsidRDefault="00A74956">
      <w:proofErr w:type="gramStart"/>
      <w:r>
        <w:rPr>
          <w:rFonts w:hint="eastAsia"/>
        </w:rPr>
        <w:t>or</w:t>
      </w:r>
      <w:proofErr w:type="gramEnd"/>
      <w:r>
        <w:rPr>
          <w:rFonts w:hint="eastAsia"/>
        </w:rPr>
        <w:t xml:space="preserve">       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</m:e>
        </m:rad>
        <m:r>
          <m:rPr>
            <m:sty m:val="p"/>
          </m:rPr>
          <w:rPr>
            <w:rFonts w:ascii="Cambria Math" w:hAnsi="Cambria Math"/>
          </w:rPr>
          <m:t>≥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rad>
      </m:oMath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 w:rsidRPr="00A74956">
        <w:rPr>
          <w:b/>
        </w:rPr>
        <w:t>…</w:t>
      </w:r>
      <w:r w:rsidRPr="00A74956">
        <w:rPr>
          <w:rFonts w:hint="eastAsia"/>
          <w:b/>
        </w:rPr>
        <w:t>.</w:t>
      </w:r>
      <w:r w:rsidRPr="00A74956">
        <w:rPr>
          <w:b/>
        </w:rPr>
        <w:tab/>
      </w:r>
      <w:r w:rsidRPr="00A74956">
        <w:rPr>
          <w:rFonts w:hint="eastAsia"/>
          <w:b/>
        </w:rPr>
        <w:t>(2)</w:t>
      </w:r>
    </w:p>
    <w:p w:rsidR="005A5241" w:rsidRDefault="005A5241"/>
    <w:p w:rsidR="00A74956" w:rsidRDefault="00A64E95">
      <w:proofErr w:type="gramStart"/>
      <w:r>
        <w:rPr>
          <w:rFonts w:hint="eastAsia"/>
        </w:rPr>
        <w:t xml:space="preserve">Although  </w:t>
      </w:r>
      <w:r>
        <w:rPr>
          <w:rFonts w:hint="eastAsia"/>
          <w:b/>
        </w:rPr>
        <w:t>(</w:t>
      </w:r>
      <w:proofErr w:type="gramEnd"/>
      <w:r>
        <w:rPr>
          <w:rFonts w:hint="eastAsia"/>
          <w:b/>
        </w:rPr>
        <w:t>2)</w:t>
      </w:r>
      <w:r w:rsidR="00A74956">
        <w:rPr>
          <w:rFonts w:hint="eastAsia"/>
        </w:rPr>
        <w:t xml:space="preserve"> is not we want</w:t>
      </w:r>
      <w:r w:rsidR="002265AA">
        <w:rPr>
          <w:rFonts w:hint="eastAsia"/>
        </w:rPr>
        <w:t>ed</w:t>
      </w:r>
      <w:r>
        <w:rPr>
          <w:rFonts w:hint="eastAsia"/>
        </w:rPr>
        <w:t>, but it is a good step forwards to have my proof.</w:t>
      </w:r>
    </w:p>
    <w:p w:rsidR="00A74956" w:rsidRDefault="00A74956">
      <w:r>
        <w:rPr>
          <w:rFonts w:hint="eastAsia"/>
        </w:rPr>
        <w:lastRenderedPageBreak/>
        <w:t xml:space="preserve">Applying the C.B.S. inequality </w:t>
      </w:r>
      <w:r w:rsidR="00DA38F2">
        <w:rPr>
          <w:rFonts w:hint="eastAsia"/>
        </w:rPr>
        <w:t>directly i</w:t>
      </w:r>
      <w:r>
        <w:rPr>
          <w:rFonts w:hint="eastAsia"/>
        </w:rPr>
        <w:t xml:space="preserve">s not fruitful for </w:t>
      </w:r>
      <w:r w:rsidR="00DA38F2">
        <w:rPr>
          <w:rFonts w:hint="eastAsia"/>
        </w:rPr>
        <w:t xml:space="preserve">proving </w:t>
      </w:r>
      <w:r w:rsidR="00DA38F2" w:rsidRPr="00DA38F2">
        <w:rPr>
          <w:rFonts w:hint="eastAsia"/>
          <w:b/>
        </w:rPr>
        <w:t>(1)</w:t>
      </w:r>
      <w:r w:rsidR="00DA38F2" w:rsidRPr="00DA38F2">
        <w:rPr>
          <w:rFonts w:hint="eastAsia"/>
        </w:rPr>
        <w:t>,</w:t>
      </w:r>
      <w:r w:rsidR="00DA38F2">
        <w:rPr>
          <w:rFonts w:hint="eastAsia"/>
        </w:rPr>
        <w:t xml:space="preserve"> the reader may try.</w:t>
      </w:r>
    </w:p>
    <w:p w:rsidR="002265AA" w:rsidRDefault="002265AA">
      <w:r>
        <w:rPr>
          <w:rFonts w:hint="eastAsia"/>
        </w:rPr>
        <w:t>It is lucky that we can extend to 4 sets of variables case:</w:t>
      </w:r>
    </w:p>
    <w:p w:rsidR="00DA38F2" w:rsidRDefault="00EF6C80">
      <m:oMathPara>
        <m:oMath>
          <m:rad>
            <m:radPr>
              <m:ctrlPr>
                <w:rPr>
                  <w:rFonts w:ascii="Cambria Math" w:hAnsi="Cambria Math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deg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</m:e>
              </m:d>
            </m:e>
          </m:rad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</w:rPr>
              </m:ctrlPr>
            </m:radPr>
            <m:deg/>
            <m:e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</m:d>
                </m:e>
              </m:rad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</m:sub>
                      </m:sSub>
                    </m:e>
                  </m:d>
                </m:e>
              </m:rad>
            </m:e>
          </m:rad>
        </m:oMath>
      </m:oMathPara>
    </w:p>
    <w:p w:rsidR="00112390" w:rsidRDefault="00112390">
      <m:oMathPara>
        <m:oMath>
          <m:r>
            <m:rPr>
              <m:sty m:val="p"/>
            </m:rPr>
            <w:rPr>
              <w:rFonts w:ascii="Cambria Math" w:hAnsi="Cambria Math"/>
            </w:rPr>
            <m:t>≥</m:t>
          </m:r>
          <m:rad>
            <m:radPr>
              <m:degHide m:val="on"/>
              <m:ctrlPr>
                <w:rPr>
                  <w:rFonts w:ascii="Cambria Math" w:hAnsi="Cambria Math"/>
                </w:rPr>
              </m:ctrlPr>
            </m:radPr>
            <m:deg/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</m:rad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</m:sub>
                      </m:sSub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</m:sub>
                      </m:sSub>
                    </m:e>
                  </m:rad>
                </m:e>
              </m:d>
            </m:e>
          </m:rad>
        </m:oMath>
      </m:oMathPara>
    </w:p>
    <w:p w:rsidR="002265AA" w:rsidRDefault="002265AA"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tab/>
      </w:r>
      <m:oMath>
        <m:r>
          <m:rPr>
            <m:sty m:val="p"/>
          </m:rPr>
          <w:rPr>
            <w:rFonts w:ascii="Cambria Math" w:hAnsi="Cambria Math"/>
          </w:rPr>
          <m:t>≥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rad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sub>
                </m:sSub>
              </m:e>
            </m:rad>
          </m:e>
        </m:rad>
      </m:oMath>
      <w:r>
        <w:rPr>
          <w:rFonts w:hint="eastAsia"/>
        </w:rPr>
        <w:t>+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rad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sub>
                </m:sSub>
              </m:e>
            </m:rad>
          </m:e>
        </m:rad>
      </m:oMath>
    </w:p>
    <w:p w:rsidR="002265AA" w:rsidRDefault="002265AA">
      <w:pPr>
        <w:rPr>
          <w:rFonts w:hint="eastAsia"/>
          <w:b/>
        </w:rPr>
      </w:pP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m:oMath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g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b>
            </m:sSub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g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b>
            </m:sSub>
          </m:e>
        </m:rad>
      </m:oMath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tab/>
      </w:r>
      <w:r w:rsidRPr="002265AA">
        <w:rPr>
          <w:b/>
        </w:rPr>
        <w:t>…</w:t>
      </w:r>
      <w:r w:rsidRPr="002265AA">
        <w:rPr>
          <w:rFonts w:hint="eastAsia"/>
          <w:b/>
        </w:rPr>
        <w:t>.</w:t>
      </w:r>
      <w:r w:rsidRPr="002265AA">
        <w:rPr>
          <w:b/>
        </w:rPr>
        <w:tab/>
      </w:r>
      <w:r w:rsidRPr="002265AA">
        <w:rPr>
          <w:rFonts w:hint="eastAsia"/>
          <w:b/>
        </w:rPr>
        <w:t>(3)</w:t>
      </w:r>
    </w:p>
    <w:p w:rsidR="00A64E95" w:rsidRDefault="00A64E95">
      <w:pPr>
        <w:rPr>
          <w:b/>
        </w:rPr>
      </w:pPr>
    </w:p>
    <w:p w:rsidR="00057956" w:rsidRDefault="00057956">
      <w:r>
        <w:rPr>
          <w:rFonts w:hint="eastAsia"/>
        </w:rPr>
        <w:t xml:space="preserve">To get back to </w:t>
      </w:r>
      <w:r w:rsidRPr="00575624">
        <w:rPr>
          <w:rFonts w:hint="eastAsia"/>
          <w:b/>
        </w:rPr>
        <w:t>(1)</w:t>
      </w:r>
      <w:r>
        <w:rPr>
          <w:rFonts w:hint="eastAsia"/>
        </w:rPr>
        <w:t xml:space="preserve">, we need to put away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</m:oMath>
      <w:r>
        <w:rPr>
          <w:rFonts w:hint="eastAsia"/>
        </w:rPr>
        <w:t xml:space="preserve"> .</w:t>
      </w:r>
    </w:p>
    <w:p w:rsidR="00057956" w:rsidRDefault="00057956">
      <w:r>
        <w:rPr>
          <w:rFonts w:hint="eastAsia"/>
        </w:rPr>
        <w:t xml:space="preserve">We let 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g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</m:e>
        </m:rad>
        <m:r>
          <m:rPr>
            <m:sty m:val="p"/>
          </m:rPr>
          <w:rPr>
            <w:rFonts w:ascii="Cambria Math" w:hAnsi="Cambria Math"/>
          </w:rPr>
          <m:t xml:space="preserve">, 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g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</m:e>
        </m:rad>
      </m:oMath>
      <w:r w:rsidR="00575624">
        <w:rPr>
          <w:rFonts w:hint="eastAsia"/>
        </w:rPr>
        <w:t xml:space="preserve">  and substitute in </w:t>
      </w:r>
      <w:r w:rsidR="00575624" w:rsidRPr="00575624">
        <w:rPr>
          <w:rFonts w:hint="eastAsia"/>
          <w:b/>
        </w:rPr>
        <w:t>(3</w:t>
      </w:r>
      <w:proofErr w:type="gramStart"/>
      <w:r w:rsidR="00575624" w:rsidRPr="00575624">
        <w:rPr>
          <w:rFonts w:hint="eastAsia"/>
          <w:b/>
        </w:rPr>
        <w:t>)</w:t>
      </w:r>
      <w:r w:rsidR="00575624">
        <w:rPr>
          <w:rFonts w:hint="eastAsia"/>
        </w:rPr>
        <w:t xml:space="preserve"> .</w:t>
      </w:r>
      <w:proofErr w:type="gramEnd"/>
    </w:p>
    <w:p w:rsidR="00575624" w:rsidRPr="00575624" w:rsidRDefault="00575624">
      <w:r>
        <w:tab/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g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sub>
                </m:sSub>
              </m:e>
            </m:d>
          </m:e>
        </m:rad>
        <m:r>
          <m:rPr>
            <m:sty m:val="p"/>
          </m:rPr>
          <w:rPr>
            <w:rFonts w:ascii="Cambria Math" w:hAnsi="Cambria Math"/>
          </w:rPr>
          <m:t>≥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g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b>
            </m:sSub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g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b>
            </m:sSub>
          </m:e>
        </m:rad>
      </m:oMath>
    </w:p>
    <w:p w:rsidR="00575624" w:rsidRDefault="00EF6C80">
      <m:oMathPara>
        <m:oMath>
          <m:rad>
            <m:radPr>
              <m:ctrlPr>
                <w:rPr>
                  <w:rFonts w:ascii="Cambria Math" w:hAnsi="Cambria Math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deg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ad>
                    <m:radPr>
                      <m:ctrlPr>
                        <w:rPr>
                          <w:rFonts w:ascii="Cambria Math" w:hAnsi="Cambria Math"/>
                        </w:rPr>
                      </m:ctrlPr>
                    </m:radPr>
                    <m:deg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deg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ad>
                    <m:radPr>
                      <m:ctrlPr>
                        <w:rPr>
                          <w:rFonts w:ascii="Cambria Math" w:hAnsi="Cambria Math"/>
                        </w:rPr>
                      </m:ctrlPr>
                    </m:radPr>
                    <m:deg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deg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</m:e>
                  </m:rad>
                </m:e>
              </m:d>
            </m:e>
          </m:rad>
          <m:r>
            <m:rPr>
              <m:sty m:val="p"/>
            </m:rPr>
            <w:rPr>
              <w:rFonts w:ascii="Cambria Math" w:hAnsi="Cambria Math"/>
            </w:rPr>
            <m:t>≥</m:t>
          </m:r>
          <m:rad>
            <m:radPr>
              <m:ctrlPr>
                <w:rPr>
                  <w:rFonts w:ascii="Cambria Math" w:hAnsi="Cambria Math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deg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deg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rad>
            </m:e>
          </m:rad>
          <m:r>
            <m:rPr>
              <m:sty m:val="p"/>
            </m:rPr>
            <w:rPr>
              <w:rFonts w:ascii="Cambria Math" w:hAnsi="Cambria Math"/>
            </w:rPr>
            <m:t>+</m:t>
          </m:r>
          <m:rad>
            <m:radPr>
              <m:ctrlPr>
                <w:rPr>
                  <w:rFonts w:ascii="Cambria Math" w:hAnsi="Cambria Math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deg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deg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rad>
            </m:e>
          </m:rad>
        </m:oMath>
      </m:oMathPara>
    </w:p>
    <w:p w:rsidR="00575624" w:rsidRDefault="00EF6C80">
      <m:oMathPara>
        <m:oMath>
          <m:rad>
            <m:radPr>
              <m:ctrlPr>
                <w:rPr>
                  <w:rFonts w:ascii="Cambria Math" w:hAnsi="Cambria Math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deg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rad>
          <m:rad>
            <m:radPr>
              <m:ctrlPr>
                <w:rPr>
                  <w:rFonts w:ascii="Cambria Math" w:hAnsi="Cambria Math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deg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ad>
                    <m:radPr>
                      <m:ctrlPr>
                        <w:rPr>
                          <w:rFonts w:ascii="Cambria Math" w:hAnsi="Cambria Math"/>
                        </w:rPr>
                      </m:ctrlPr>
                    </m:radPr>
                    <m:deg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deg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ad>
                    <m:radPr>
                      <m:ctrlPr>
                        <w:rPr>
                          <w:rFonts w:ascii="Cambria Math" w:hAnsi="Cambria Math"/>
                        </w:rPr>
                      </m:ctrlPr>
                    </m:radPr>
                    <m:deg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deg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</m:e>
                  </m:rad>
                </m:e>
              </m:d>
            </m:e>
          </m:rad>
          <m:r>
            <m:rPr>
              <m:sty m:val="p"/>
            </m:rPr>
            <w:rPr>
              <w:rFonts w:ascii="Cambria Math" w:hAnsi="Cambria Math"/>
            </w:rPr>
            <m:t>≥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deg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deg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rad>
            </m:e>
          </m:d>
        </m:oMath>
      </m:oMathPara>
    </w:p>
    <w:p w:rsidR="001A2214" w:rsidRDefault="001A2214">
      <w:r>
        <w:tab/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g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rad>
        <m:r>
          <m:rPr>
            <m:sty m:val="p"/>
          </m:rPr>
          <w:rPr>
            <w:rFonts w:ascii="Cambria Math" w:hAnsi="Cambria Math"/>
          </w:rPr>
          <m:t>≥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g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ad>
                      <m:radPr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deg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ad>
                      <m:radPr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deg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</m:e>
                    </m:ra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e>
        </m:rad>
      </m:oMath>
    </w:p>
    <w:p w:rsidR="001A2214" w:rsidRPr="00057956" w:rsidRDefault="001A2214">
      <w:r>
        <w:rPr>
          <w:rFonts w:hint="eastAsia"/>
        </w:rPr>
        <w:tab/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g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d>
          </m:e>
        </m:rad>
        <m:r>
          <m:rPr>
            <m:sty m:val="p"/>
          </m:rPr>
          <w:rPr>
            <w:rFonts w:ascii="Cambria Math" w:hAnsi="Cambria Math"/>
          </w:rPr>
          <m:t>≥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g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g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</m:e>
        </m:rad>
      </m:oMath>
    </w:p>
    <w:p w:rsidR="00575624" w:rsidRDefault="00575624"/>
    <w:p w:rsidR="000C347E" w:rsidRDefault="000C347E">
      <w:r>
        <w:rPr>
          <w:rFonts w:hint="eastAsia"/>
        </w:rPr>
        <w:t xml:space="preserve">Using CBS inequality to prove </w:t>
      </w:r>
      <w:r w:rsidRPr="000C347E">
        <w:rPr>
          <w:rFonts w:hint="eastAsia"/>
          <w:b/>
        </w:rPr>
        <w:t>(1)</w:t>
      </w:r>
      <w:r>
        <w:rPr>
          <w:rFonts w:hint="eastAsia"/>
        </w:rPr>
        <w:t xml:space="preserve"> is obviously tedious, but it can give a nice extension of this inequality as we shall see.</w:t>
      </w:r>
    </w:p>
    <w:p w:rsidR="000C347E" w:rsidRDefault="000C347E"/>
    <w:p w:rsidR="000C347E" w:rsidRDefault="000C347E">
      <w:r>
        <w:rPr>
          <w:rFonts w:hint="eastAsia"/>
        </w:rPr>
        <w:t xml:space="preserve">My third attempt to deal with (1) is given below. I use </w:t>
      </w:r>
      <w:r>
        <w:t>“</w:t>
      </w:r>
      <w:r>
        <w:rPr>
          <w:rFonts w:hint="eastAsia"/>
        </w:rPr>
        <w:t>think backwards, write forwards</w:t>
      </w:r>
      <w:r>
        <w:t>”</w:t>
      </w:r>
      <w:r>
        <w:rPr>
          <w:rFonts w:hint="eastAsia"/>
        </w:rPr>
        <w:t xml:space="preserve"> and the reader may trace my way of thinking by </w:t>
      </w:r>
      <w:r w:rsidR="00D75851">
        <w:rPr>
          <w:rFonts w:hint="eastAsia"/>
        </w:rPr>
        <w:t>beginning at the last line and read backwards.</w:t>
      </w:r>
    </w:p>
    <w:p w:rsidR="00C45CEB" w:rsidRDefault="00C45CEB"/>
    <w:p w:rsidR="00C45CEB" w:rsidRDefault="00D75851" w:rsidP="00D75851">
      <w:proofErr w:type="gramStart"/>
      <w:r>
        <w:rPr>
          <w:rFonts w:hint="eastAsia"/>
        </w:rPr>
        <w:t xml:space="preserve">By A.M. </w:t>
      </w:r>
      <w:r>
        <w:rPr>
          <w:rFonts w:hint="eastAsia"/>
        </w:rPr>
        <w:sym w:font="Symbol" w:char="F0B3"/>
      </w:r>
      <w:r>
        <w:rPr>
          <w:rFonts w:hint="eastAsia"/>
        </w:rPr>
        <w:t xml:space="preserve"> G.M.,</w:t>
      </w:r>
      <w:proofErr w:type="gramEnd"/>
    </w:p>
    <w:p w:rsidR="00D75851" w:rsidRPr="00C45CEB" w:rsidRDefault="00EF6C80" w:rsidP="00D75851">
      <m:oMathPara>
        <m:oMath>
          <m:f>
            <m:fPr>
              <m:ctrlPr>
                <w:rPr>
                  <w:rFonts w:ascii="Cambria Math" w:hAnsi="Cambria Math"/>
                  <w:sz w:val="20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3</m:t>
                      </m:r>
                    </m:sub>
                  </m:sSub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  <w:sz w:val="20"/>
            </w:rPr>
            <m:t>+</m:t>
          </m:r>
          <m:f>
            <m:fPr>
              <m:ctrlPr>
                <w:rPr>
                  <w:rFonts w:ascii="Cambria Math" w:hAnsi="Cambria Math"/>
                  <w:sz w:val="20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3</m:t>
                      </m:r>
                    </m:sub>
                  </m:sSub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  <w:sz w:val="20"/>
            </w:rPr>
            <m:t>≥</m:t>
          </m:r>
          <m:rad>
            <m:radPr>
              <m:ctrlPr>
                <w:rPr>
                  <w:rFonts w:ascii="Cambria Math" w:hAnsi="Cambria Math"/>
                  <w:sz w:val="20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</m:den>
              </m:f>
              <m:f>
                <m:fPr>
                  <m:ctrlPr>
                    <w:rPr>
                      <w:rFonts w:ascii="Cambria Math" w:hAnsi="Cambria Math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</m:den>
              </m:f>
              <m:f>
                <m:fPr>
                  <m:ctrlPr>
                    <w:rPr>
                      <w:rFonts w:ascii="Cambria Math" w:hAnsi="Cambria Math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3</m:t>
                      </m:r>
                    </m:sub>
                  </m:sSub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sz w:val="20"/>
            </w:rPr>
            <m:t>+</m:t>
          </m:r>
          <m:rad>
            <m:radPr>
              <m:ctrlPr>
                <w:rPr>
                  <w:rFonts w:ascii="Cambria Math" w:hAnsi="Cambria Math"/>
                  <w:sz w:val="20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</m:den>
              </m:f>
              <m:f>
                <m:fPr>
                  <m:ctrlPr>
                    <w:rPr>
                      <w:rFonts w:ascii="Cambria Math" w:hAnsi="Cambria Math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</m:den>
              </m:f>
              <m:f>
                <m:fPr>
                  <m:ctrlPr>
                    <w:rPr>
                      <w:rFonts w:ascii="Cambria Math" w:hAnsi="Cambria Math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3</m:t>
                      </m:r>
                    </m:sub>
                  </m:sSub>
                </m:den>
              </m:f>
            </m:e>
          </m:rad>
        </m:oMath>
      </m:oMathPara>
    </w:p>
    <w:p w:rsidR="00D75851" w:rsidRPr="00057956" w:rsidRDefault="00D75851" w:rsidP="00D75851">
      <w:r>
        <w:tab/>
      </w:r>
      <w:r w:rsidR="00C45CEB">
        <w:rPr>
          <w:rFonts w:hint="eastAsia"/>
        </w:rPr>
        <w:t xml:space="preserve">    </w:t>
      </w:r>
      <w:r>
        <w:rPr>
          <w:rFonts w:hint="eastAsia"/>
        </w:rPr>
        <w:tab/>
      </w:r>
      <m:oMath>
        <m:r>
          <m:rPr>
            <m:sty m:val="p"/>
          </m:rPr>
          <w:rPr>
            <w:rFonts w:ascii="Cambria Math" w:hAnsi="Cambria Math"/>
            <w:sz w:val="28"/>
          </w:rPr>
          <m:t>⇔1≥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  <w:sz w:val="28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3</m:t>
                </m:r>
              </m:deg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3</m:t>
                    </m:r>
                  </m:sub>
                </m:sSub>
              </m:e>
            </m:rad>
            <m:r>
              <m:rPr>
                <m:sty m:val="p"/>
              </m:rPr>
              <w:rPr>
                <w:rFonts w:ascii="Cambria Math" w:hAnsi="Cambria Math"/>
                <w:sz w:val="28"/>
              </w:rPr>
              <m:t>+</m:t>
            </m:r>
            <m:rad>
              <m:radPr>
                <m:ctrlPr>
                  <w:rPr>
                    <w:rFonts w:ascii="Cambria Math" w:hAnsi="Cambria Math"/>
                    <w:sz w:val="28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3</m:t>
                </m:r>
              </m:deg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3</m:t>
                    </m:r>
                  </m:sub>
                </m:sSub>
              </m:e>
            </m:rad>
          </m:num>
          <m:den>
            <m:rad>
              <m:radPr>
                <m:ctrlPr>
                  <w:rPr>
                    <w:rFonts w:ascii="Cambria Math" w:hAnsi="Cambria Math"/>
                    <w:sz w:val="28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3</m:t>
                </m:r>
              </m:deg>
              <m:e>
                <m:d>
                  <m:dPr>
                    <m:ctrlPr>
                      <w:rPr>
                        <w:rFonts w:ascii="Cambria Math" w:hAnsi="Cambria Math"/>
                        <w:sz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hAnsi="Cambria Math"/>
                        <w:sz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hAnsi="Cambria Math"/>
                        <w:sz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3</m:t>
                        </m:r>
                      </m:sub>
                    </m:sSub>
                  </m:e>
                </m:d>
              </m:e>
            </m:rad>
          </m:den>
        </m:f>
      </m:oMath>
    </w:p>
    <w:p w:rsidR="00D75851" w:rsidRDefault="00C45CEB">
      <w:r>
        <w:rPr>
          <w:rFonts w:hint="eastAsia"/>
        </w:rPr>
        <w:tab/>
        <w:t xml:space="preserve">    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⇔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g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d>
          </m:e>
        </m:rad>
        <m:r>
          <m:rPr>
            <m:sty m:val="p"/>
          </m:rPr>
          <w:rPr>
            <w:rFonts w:ascii="Cambria Math" w:hAnsi="Cambria Math"/>
          </w:rPr>
          <m:t>≥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g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g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</m:e>
        </m:rad>
      </m:oMath>
    </w:p>
    <w:p w:rsidR="00C45CEB" w:rsidRDefault="00C45CEB">
      <w:r>
        <w:rPr>
          <w:rFonts w:hint="eastAsia"/>
        </w:rPr>
        <w:t>Nice,</w:t>
      </w:r>
      <w:r w:rsidR="0032157A">
        <w:rPr>
          <w:rFonts w:hint="eastAsia"/>
        </w:rPr>
        <w:t xml:space="preserve"> short,</w:t>
      </w:r>
      <w:r>
        <w:rPr>
          <w:rFonts w:hint="eastAsia"/>
        </w:rPr>
        <w:t xml:space="preserve"> isn</w:t>
      </w:r>
      <w:r>
        <w:t>’</w:t>
      </w:r>
      <w:r>
        <w:rPr>
          <w:rFonts w:hint="eastAsia"/>
        </w:rPr>
        <w:t>t it?</w:t>
      </w:r>
    </w:p>
    <w:p w:rsidR="00C45CEB" w:rsidRDefault="00C45CEB">
      <w:r>
        <w:rPr>
          <w:rFonts w:hint="eastAsia"/>
        </w:rPr>
        <w:lastRenderedPageBreak/>
        <w:t xml:space="preserve">Last, but not the least, I try to give </w:t>
      </w:r>
      <w:r w:rsidRPr="00C45CEB">
        <w:rPr>
          <w:rFonts w:hint="eastAsia"/>
          <w:b/>
        </w:rPr>
        <w:t>(1)</w:t>
      </w:r>
      <w:r>
        <w:rPr>
          <w:rFonts w:hint="eastAsia"/>
        </w:rPr>
        <w:t xml:space="preserve"> a possible extension.</w:t>
      </w:r>
    </w:p>
    <w:p w:rsidR="00C45CEB" w:rsidRDefault="00C45CEB"/>
    <w:p w:rsidR="00C45CEB" w:rsidRDefault="00C45CEB">
      <w:r>
        <w:rPr>
          <w:rFonts w:hint="eastAsia"/>
        </w:rPr>
        <w:t xml:space="preserve">By </w:t>
      </w:r>
      <w:proofErr w:type="gramStart"/>
      <w:r>
        <w:rPr>
          <w:rFonts w:hint="eastAsia"/>
        </w:rPr>
        <w:t>studying</w:t>
      </w:r>
      <w:r w:rsidR="00BA1A12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32157A">
        <w:rPr>
          <w:rFonts w:hint="eastAsia"/>
          <w:b/>
        </w:rPr>
        <w:t>(</w:t>
      </w:r>
      <w:proofErr w:type="gramEnd"/>
      <w:r w:rsidRPr="0032157A">
        <w:rPr>
          <w:rFonts w:hint="eastAsia"/>
          <w:b/>
        </w:rPr>
        <w:t>1)</w:t>
      </w:r>
      <w:r>
        <w:rPr>
          <w:rFonts w:hint="eastAsia"/>
        </w:rPr>
        <w:t xml:space="preserve">, </w:t>
      </w:r>
      <w:r w:rsidRPr="0032157A">
        <w:rPr>
          <w:rFonts w:hint="eastAsia"/>
          <w:b/>
        </w:rPr>
        <w:t xml:space="preserve">(2) </w:t>
      </w:r>
      <w:r>
        <w:rPr>
          <w:rFonts w:hint="eastAsia"/>
        </w:rPr>
        <w:t xml:space="preserve">and </w:t>
      </w:r>
      <w:r w:rsidRPr="0032157A">
        <w:rPr>
          <w:rFonts w:hint="eastAsia"/>
          <w:b/>
        </w:rPr>
        <w:t>(3)</w:t>
      </w:r>
      <w:r>
        <w:rPr>
          <w:rFonts w:hint="eastAsia"/>
        </w:rPr>
        <w:t>, we can get:</w:t>
      </w:r>
    </w:p>
    <w:p w:rsidR="00C45CEB" w:rsidRDefault="00C45CEB"/>
    <w:p w:rsidR="00C45CEB" w:rsidRPr="00D27625" w:rsidRDefault="00EF6C80">
      <m:oMathPara>
        <m:oMath>
          <m:nary>
            <m:naryPr>
              <m:chr m:val="∏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</m:e>
          </m:nary>
          <m:r>
            <m:rPr>
              <m:sty m:val="p"/>
            </m:rPr>
            <w:rPr>
              <w:rFonts w:ascii="Cambria Math" w:hAnsi="Cambria Math"/>
            </w:rPr>
            <m:t>≥</m:t>
          </m:r>
          <m:rad>
            <m:radPr>
              <m:ctrlPr>
                <w:rPr>
                  <w:rFonts w:ascii="Cambria Math" w:hAnsi="Cambria Math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deg>
            <m:e>
              <m:nary>
                <m:naryPr>
                  <m:chr m:val="∏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e>
          </m:rad>
          <m:r>
            <m:rPr>
              <m:sty m:val="p"/>
            </m:rPr>
            <w:rPr>
              <w:rFonts w:ascii="Cambria Math" w:hAnsi="Cambria Math"/>
            </w:rPr>
            <m:t>+</m:t>
          </m:r>
          <m:rad>
            <m:radPr>
              <m:ctrlPr>
                <w:rPr>
                  <w:rFonts w:ascii="Cambria Math" w:hAnsi="Cambria Math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deg>
            <m:e>
              <m:nary>
                <m:naryPr>
                  <m:chr m:val="∏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e>
          </m:rad>
          <m:r>
            <m:rPr>
              <m:sty m:val="p"/>
            </m:rPr>
            <w:rPr>
              <w:rFonts w:ascii="Cambria Math" w:hAnsi="Cambria Math"/>
            </w:rPr>
            <m:t xml:space="preserve">                      </m:t>
          </m:r>
          <m:r>
            <m:rPr>
              <m:sty m:val="b"/>
            </m:rPr>
            <w:rPr>
              <w:rFonts w:ascii="Cambria Math" w:hAnsi="Cambria Math"/>
            </w:rPr>
            <m:t>….(4)</m:t>
          </m:r>
        </m:oMath>
      </m:oMathPara>
    </w:p>
    <w:p w:rsidR="00D27625" w:rsidRDefault="00D27625">
      <w:pPr>
        <w:rPr>
          <w:rFonts w:hint="eastAsia"/>
        </w:rPr>
      </w:pPr>
    </w:p>
    <w:p w:rsidR="00A64E95" w:rsidRDefault="00A64E95"/>
    <w:p w:rsidR="00D27625" w:rsidRDefault="00D27625">
      <w:r>
        <w:rPr>
          <w:rFonts w:hint="eastAsia"/>
        </w:rPr>
        <w:t xml:space="preserve">Two possible proofs </w:t>
      </w:r>
      <w:proofErr w:type="gramStart"/>
      <w:r>
        <w:rPr>
          <w:rFonts w:hint="eastAsia"/>
        </w:rPr>
        <w:t>of</w:t>
      </w:r>
      <w:r w:rsidR="00BA1A12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BA1A12">
        <w:rPr>
          <w:rFonts w:hint="eastAsia"/>
          <w:b/>
        </w:rPr>
        <w:t>(</w:t>
      </w:r>
      <w:proofErr w:type="gramEnd"/>
      <w:r w:rsidRPr="00BA1A12">
        <w:rPr>
          <w:rFonts w:hint="eastAsia"/>
          <w:b/>
        </w:rPr>
        <w:t>4)</w:t>
      </w:r>
      <w:r>
        <w:rPr>
          <w:rFonts w:hint="eastAsia"/>
        </w:rPr>
        <w:t xml:space="preserve"> </w:t>
      </w:r>
      <w:r w:rsidR="00BA1A12">
        <w:rPr>
          <w:rFonts w:hint="eastAsia"/>
        </w:rPr>
        <w:t xml:space="preserve"> </w:t>
      </w:r>
      <w:r>
        <w:rPr>
          <w:rFonts w:hint="eastAsia"/>
        </w:rPr>
        <w:t>are :</w:t>
      </w:r>
    </w:p>
    <w:p w:rsidR="00D27625" w:rsidRDefault="00D27625" w:rsidP="0032157A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 xml:space="preserve">Use </w:t>
      </w:r>
      <w:r>
        <w:t>“</w:t>
      </w:r>
      <w:r>
        <w:rPr>
          <w:rFonts w:hint="eastAsia"/>
        </w:rPr>
        <w:t>Backward mathematical induction</w:t>
      </w:r>
      <w:r>
        <w:t>”</w:t>
      </w:r>
      <w:r>
        <w:rPr>
          <w:rFonts w:hint="eastAsia"/>
        </w:rPr>
        <w:t>.  (a very long proof)</w:t>
      </w:r>
    </w:p>
    <w:p w:rsidR="00D27625" w:rsidRDefault="00D27625" w:rsidP="00D27625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 xml:space="preserve">Use my </w:t>
      </w:r>
      <w:r>
        <w:t>“</w:t>
      </w:r>
      <w:r>
        <w:rPr>
          <w:rFonts w:hint="eastAsia"/>
        </w:rPr>
        <w:t>third attempt</w:t>
      </w:r>
      <w:r>
        <w:t>”</w:t>
      </w:r>
      <w:r>
        <w:rPr>
          <w:rFonts w:hint="eastAsia"/>
        </w:rPr>
        <w:t>.  (a very short proof)</w:t>
      </w:r>
    </w:p>
    <w:p w:rsidR="00D27625" w:rsidRDefault="00D27625" w:rsidP="00D27625">
      <w:pPr>
        <w:rPr>
          <w:rFonts w:hint="eastAsia"/>
        </w:rPr>
      </w:pPr>
    </w:p>
    <w:p w:rsidR="00A64E95" w:rsidRDefault="00A64E95" w:rsidP="00D27625"/>
    <w:p w:rsidR="00D27625" w:rsidRDefault="00D27625" w:rsidP="00D27625">
      <w:r>
        <w:rPr>
          <w:rFonts w:hint="eastAsia"/>
        </w:rPr>
        <w:t>I leave the proofs for the reader as an exercise. For those who don</w:t>
      </w:r>
      <w:r>
        <w:t>’</w:t>
      </w:r>
      <w:r>
        <w:rPr>
          <w:rFonts w:hint="eastAsia"/>
        </w:rPr>
        <w:t>t know much on backward induction m</w:t>
      </w:r>
      <w:r w:rsidR="00A64E95">
        <w:rPr>
          <w:rFonts w:hint="eastAsia"/>
        </w:rPr>
        <w:t>a</w:t>
      </w:r>
      <w:r>
        <w:rPr>
          <w:rFonts w:hint="eastAsia"/>
        </w:rPr>
        <w:t>y find my example useful:</w:t>
      </w:r>
    </w:p>
    <w:p w:rsidR="00D27625" w:rsidRDefault="00EF6C80" w:rsidP="00D27625">
      <w:hyperlink r:id="rId8" w:history="1">
        <w:r w:rsidR="00D27625">
          <w:rPr>
            <w:rStyle w:val="ab"/>
          </w:rPr>
          <w:t>http://www.qc.edu.hk/math/Resource/AL/AGM_1.pdf</w:t>
        </w:r>
      </w:hyperlink>
    </w:p>
    <w:p w:rsidR="00D27625" w:rsidRPr="00C45CEB" w:rsidRDefault="00D27625" w:rsidP="00D27625"/>
    <w:sectPr w:rsidR="00D27625" w:rsidRPr="00C45CEB" w:rsidSect="00BA1A12">
      <w:footerReference w:type="default" r:id="rId9"/>
      <w:pgSz w:w="11906" w:h="16838" w:code="9"/>
      <w:pgMar w:top="1134" w:right="1134" w:bottom="1134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CE1" w:rsidRDefault="00572CE1" w:rsidP="00E6719F">
      <w:r>
        <w:separator/>
      </w:r>
    </w:p>
  </w:endnote>
  <w:endnote w:type="continuationSeparator" w:id="0">
    <w:p w:rsidR="00572CE1" w:rsidRDefault="00572CE1" w:rsidP="00E67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3022"/>
      <w:docPartObj>
        <w:docPartGallery w:val="Page Numbers (Bottom of Page)"/>
        <w:docPartUnique/>
      </w:docPartObj>
    </w:sdtPr>
    <w:sdtContent>
      <w:p w:rsidR="00BA1A12" w:rsidRDefault="00BA1A12">
        <w:pPr>
          <w:pStyle w:val="a8"/>
          <w:jc w:val="right"/>
        </w:pPr>
        <w:r>
          <w:rPr>
            <w:rFonts w:hint="eastAsia"/>
          </w:rPr>
          <w:t>P.</w:t>
        </w:r>
        <w:fldSimple w:instr=" PAGE   \* MERGEFORMAT ">
          <w:r w:rsidR="00A64E95" w:rsidRPr="00A64E95">
            <w:rPr>
              <w:noProof/>
              <w:lang w:val="zh-TW"/>
            </w:rPr>
            <w:t>3</w:t>
          </w:r>
        </w:fldSimple>
      </w:p>
    </w:sdtContent>
  </w:sdt>
  <w:p w:rsidR="00BA1A12" w:rsidRDefault="00BA1A1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CE1" w:rsidRDefault="00572CE1" w:rsidP="00E6719F">
      <w:r>
        <w:separator/>
      </w:r>
    </w:p>
  </w:footnote>
  <w:footnote w:type="continuationSeparator" w:id="0">
    <w:p w:rsidR="00572CE1" w:rsidRDefault="00572CE1" w:rsidP="00E671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7929"/>
    <w:multiLevelType w:val="hybridMultilevel"/>
    <w:tmpl w:val="A1802CC4"/>
    <w:lvl w:ilvl="0" w:tplc="EB34DFAE">
      <w:start w:val="1"/>
      <w:numFmt w:val="lowerLetter"/>
      <w:lvlText w:val="(%1)"/>
      <w:lvlJc w:val="left"/>
      <w:pPr>
        <w:ind w:left="360" w:hanging="360"/>
      </w:pPr>
      <w:rPr>
        <w:rFonts w:ascii="Times New Roman" w:eastAsia="新細明體" w:hAnsi="Times New Roman" w:cs="Times New Roman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3314">
      <o:colormenu v:ext="edit" fillcolor="none" shadowcolor="#c00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342"/>
    <w:rsid w:val="00006428"/>
    <w:rsid w:val="00006518"/>
    <w:rsid w:val="0001512E"/>
    <w:rsid w:val="000322C5"/>
    <w:rsid w:val="00044E81"/>
    <w:rsid w:val="000569EA"/>
    <w:rsid w:val="00057956"/>
    <w:rsid w:val="00064CF9"/>
    <w:rsid w:val="00066C43"/>
    <w:rsid w:val="000951E3"/>
    <w:rsid w:val="000A1D7E"/>
    <w:rsid w:val="000A794D"/>
    <w:rsid w:val="000B1720"/>
    <w:rsid w:val="000B7746"/>
    <w:rsid w:val="000C347E"/>
    <w:rsid w:val="000D350A"/>
    <w:rsid w:val="000D366D"/>
    <w:rsid w:val="000D7342"/>
    <w:rsid w:val="000E757F"/>
    <w:rsid w:val="001007D4"/>
    <w:rsid w:val="001100CB"/>
    <w:rsid w:val="00112390"/>
    <w:rsid w:val="0012157E"/>
    <w:rsid w:val="0013143C"/>
    <w:rsid w:val="00143989"/>
    <w:rsid w:val="0015686F"/>
    <w:rsid w:val="00166593"/>
    <w:rsid w:val="00170199"/>
    <w:rsid w:val="00171794"/>
    <w:rsid w:val="001731BE"/>
    <w:rsid w:val="0017700F"/>
    <w:rsid w:val="001824FC"/>
    <w:rsid w:val="00196674"/>
    <w:rsid w:val="001A2214"/>
    <w:rsid w:val="001C34A2"/>
    <w:rsid w:val="001D4ECA"/>
    <w:rsid w:val="001D5C4D"/>
    <w:rsid w:val="001D6618"/>
    <w:rsid w:val="001E7CA2"/>
    <w:rsid w:val="002117D7"/>
    <w:rsid w:val="002265AA"/>
    <w:rsid w:val="002303C1"/>
    <w:rsid w:val="002312F3"/>
    <w:rsid w:val="00232919"/>
    <w:rsid w:val="00237A69"/>
    <w:rsid w:val="0024356C"/>
    <w:rsid w:val="0027134D"/>
    <w:rsid w:val="00282E87"/>
    <w:rsid w:val="0028309D"/>
    <w:rsid w:val="002916A1"/>
    <w:rsid w:val="00295C63"/>
    <w:rsid w:val="00296437"/>
    <w:rsid w:val="002C59E8"/>
    <w:rsid w:val="002E13A3"/>
    <w:rsid w:val="002F035A"/>
    <w:rsid w:val="002F6253"/>
    <w:rsid w:val="003025C9"/>
    <w:rsid w:val="003027D8"/>
    <w:rsid w:val="0032157A"/>
    <w:rsid w:val="0033729B"/>
    <w:rsid w:val="003408E7"/>
    <w:rsid w:val="003412C9"/>
    <w:rsid w:val="003464A5"/>
    <w:rsid w:val="00347F5D"/>
    <w:rsid w:val="00350B1A"/>
    <w:rsid w:val="00354D4A"/>
    <w:rsid w:val="00356FD9"/>
    <w:rsid w:val="00376F1A"/>
    <w:rsid w:val="00384B3F"/>
    <w:rsid w:val="00387901"/>
    <w:rsid w:val="0039387C"/>
    <w:rsid w:val="003A02F6"/>
    <w:rsid w:val="003A4170"/>
    <w:rsid w:val="003C21DD"/>
    <w:rsid w:val="003D2A6E"/>
    <w:rsid w:val="003D47CC"/>
    <w:rsid w:val="003D667E"/>
    <w:rsid w:val="003F15A2"/>
    <w:rsid w:val="003F3134"/>
    <w:rsid w:val="003F6A05"/>
    <w:rsid w:val="00404A0B"/>
    <w:rsid w:val="00406EBB"/>
    <w:rsid w:val="004142B9"/>
    <w:rsid w:val="00424F8E"/>
    <w:rsid w:val="00436BCE"/>
    <w:rsid w:val="00440103"/>
    <w:rsid w:val="00441FF7"/>
    <w:rsid w:val="00443B85"/>
    <w:rsid w:val="00444489"/>
    <w:rsid w:val="0044634D"/>
    <w:rsid w:val="00453479"/>
    <w:rsid w:val="004559DA"/>
    <w:rsid w:val="004670C6"/>
    <w:rsid w:val="0047186B"/>
    <w:rsid w:val="004869C2"/>
    <w:rsid w:val="0049100B"/>
    <w:rsid w:val="004957BC"/>
    <w:rsid w:val="004B1FF8"/>
    <w:rsid w:val="004D2A19"/>
    <w:rsid w:val="004F3B0A"/>
    <w:rsid w:val="005073A9"/>
    <w:rsid w:val="00507694"/>
    <w:rsid w:val="005110B3"/>
    <w:rsid w:val="00512A53"/>
    <w:rsid w:val="005143BF"/>
    <w:rsid w:val="00530896"/>
    <w:rsid w:val="0053211E"/>
    <w:rsid w:val="00536E4F"/>
    <w:rsid w:val="0054362D"/>
    <w:rsid w:val="00545986"/>
    <w:rsid w:val="005504C6"/>
    <w:rsid w:val="00553E81"/>
    <w:rsid w:val="00561C1D"/>
    <w:rsid w:val="005630B9"/>
    <w:rsid w:val="00570A49"/>
    <w:rsid w:val="005720AD"/>
    <w:rsid w:val="00572CE1"/>
    <w:rsid w:val="00575624"/>
    <w:rsid w:val="005834EB"/>
    <w:rsid w:val="00597360"/>
    <w:rsid w:val="00597911"/>
    <w:rsid w:val="005A2A89"/>
    <w:rsid w:val="005A5241"/>
    <w:rsid w:val="005B0015"/>
    <w:rsid w:val="005B739C"/>
    <w:rsid w:val="005C3CEC"/>
    <w:rsid w:val="005D08CA"/>
    <w:rsid w:val="005F2848"/>
    <w:rsid w:val="005F5BB7"/>
    <w:rsid w:val="00605F63"/>
    <w:rsid w:val="0062338A"/>
    <w:rsid w:val="00653204"/>
    <w:rsid w:val="00656EEA"/>
    <w:rsid w:val="00660DC6"/>
    <w:rsid w:val="0066440F"/>
    <w:rsid w:val="00670EAC"/>
    <w:rsid w:val="00680C5A"/>
    <w:rsid w:val="0068107F"/>
    <w:rsid w:val="006812C2"/>
    <w:rsid w:val="0068208D"/>
    <w:rsid w:val="006A17DF"/>
    <w:rsid w:val="006A3A72"/>
    <w:rsid w:val="006A6F21"/>
    <w:rsid w:val="006B2033"/>
    <w:rsid w:val="006C1EBF"/>
    <w:rsid w:val="006C7567"/>
    <w:rsid w:val="006D393D"/>
    <w:rsid w:val="006E289F"/>
    <w:rsid w:val="006F1821"/>
    <w:rsid w:val="006F35BC"/>
    <w:rsid w:val="006F384F"/>
    <w:rsid w:val="006F4CB1"/>
    <w:rsid w:val="006F6CBC"/>
    <w:rsid w:val="00714848"/>
    <w:rsid w:val="00721AD4"/>
    <w:rsid w:val="0072284F"/>
    <w:rsid w:val="0072391B"/>
    <w:rsid w:val="007267DB"/>
    <w:rsid w:val="00733CF7"/>
    <w:rsid w:val="00762E2E"/>
    <w:rsid w:val="007644CE"/>
    <w:rsid w:val="00770ED5"/>
    <w:rsid w:val="007751B6"/>
    <w:rsid w:val="007B16DE"/>
    <w:rsid w:val="007B665C"/>
    <w:rsid w:val="007B6B8C"/>
    <w:rsid w:val="007C2CFB"/>
    <w:rsid w:val="007F1114"/>
    <w:rsid w:val="00810AD8"/>
    <w:rsid w:val="00813EBC"/>
    <w:rsid w:val="00817ABF"/>
    <w:rsid w:val="00830A2C"/>
    <w:rsid w:val="00885E60"/>
    <w:rsid w:val="008B31D4"/>
    <w:rsid w:val="008B5D63"/>
    <w:rsid w:val="008C5B5F"/>
    <w:rsid w:val="008D762E"/>
    <w:rsid w:val="008E79B8"/>
    <w:rsid w:val="008F0150"/>
    <w:rsid w:val="0095185B"/>
    <w:rsid w:val="00954BA2"/>
    <w:rsid w:val="009574A4"/>
    <w:rsid w:val="009638CC"/>
    <w:rsid w:val="00963A0F"/>
    <w:rsid w:val="00972C6B"/>
    <w:rsid w:val="009846C4"/>
    <w:rsid w:val="009853B6"/>
    <w:rsid w:val="00987976"/>
    <w:rsid w:val="00997EF4"/>
    <w:rsid w:val="009B5858"/>
    <w:rsid w:val="009B5FF0"/>
    <w:rsid w:val="009B74FE"/>
    <w:rsid w:val="009C74A8"/>
    <w:rsid w:val="009C7FB2"/>
    <w:rsid w:val="009D2571"/>
    <w:rsid w:val="009D2B48"/>
    <w:rsid w:val="009D518A"/>
    <w:rsid w:val="009E3ABA"/>
    <w:rsid w:val="00A00393"/>
    <w:rsid w:val="00A077EB"/>
    <w:rsid w:val="00A273C4"/>
    <w:rsid w:val="00A319C6"/>
    <w:rsid w:val="00A36044"/>
    <w:rsid w:val="00A411DD"/>
    <w:rsid w:val="00A45E08"/>
    <w:rsid w:val="00A47949"/>
    <w:rsid w:val="00A64E95"/>
    <w:rsid w:val="00A74956"/>
    <w:rsid w:val="00A757A7"/>
    <w:rsid w:val="00A75961"/>
    <w:rsid w:val="00A81E1E"/>
    <w:rsid w:val="00A87B51"/>
    <w:rsid w:val="00A96C88"/>
    <w:rsid w:val="00AA20E5"/>
    <w:rsid w:val="00AC3AD9"/>
    <w:rsid w:val="00B054AC"/>
    <w:rsid w:val="00B06954"/>
    <w:rsid w:val="00B070C0"/>
    <w:rsid w:val="00B1635A"/>
    <w:rsid w:val="00B2745C"/>
    <w:rsid w:val="00B30F6F"/>
    <w:rsid w:val="00B3726C"/>
    <w:rsid w:val="00B45A23"/>
    <w:rsid w:val="00B6151C"/>
    <w:rsid w:val="00B77008"/>
    <w:rsid w:val="00B81572"/>
    <w:rsid w:val="00B816FE"/>
    <w:rsid w:val="00B8640C"/>
    <w:rsid w:val="00BA1A12"/>
    <w:rsid w:val="00BA4501"/>
    <w:rsid w:val="00BA7253"/>
    <w:rsid w:val="00BC5395"/>
    <w:rsid w:val="00BC577B"/>
    <w:rsid w:val="00BC648D"/>
    <w:rsid w:val="00BF3E7D"/>
    <w:rsid w:val="00C02D4E"/>
    <w:rsid w:val="00C14734"/>
    <w:rsid w:val="00C21C25"/>
    <w:rsid w:val="00C25D77"/>
    <w:rsid w:val="00C40AA6"/>
    <w:rsid w:val="00C45CEB"/>
    <w:rsid w:val="00C543BA"/>
    <w:rsid w:val="00C66C8D"/>
    <w:rsid w:val="00C70ADC"/>
    <w:rsid w:val="00C71C74"/>
    <w:rsid w:val="00C8400B"/>
    <w:rsid w:val="00CA4BF3"/>
    <w:rsid w:val="00CA7001"/>
    <w:rsid w:val="00CB40C1"/>
    <w:rsid w:val="00CB428A"/>
    <w:rsid w:val="00CC0495"/>
    <w:rsid w:val="00CC21C1"/>
    <w:rsid w:val="00CC2779"/>
    <w:rsid w:val="00CC511F"/>
    <w:rsid w:val="00CC7022"/>
    <w:rsid w:val="00CD4DDB"/>
    <w:rsid w:val="00CD73E2"/>
    <w:rsid w:val="00CE22AB"/>
    <w:rsid w:val="00D05904"/>
    <w:rsid w:val="00D07FC3"/>
    <w:rsid w:val="00D250A1"/>
    <w:rsid w:val="00D25CA3"/>
    <w:rsid w:val="00D25DD8"/>
    <w:rsid w:val="00D26849"/>
    <w:rsid w:val="00D27625"/>
    <w:rsid w:val="00D31C2D"/>
    <w:rsid w:val="00D6636A"/>
    <w:rsid w:val="00D7162A"/>
    <w:rsid w:val="00D73790"/>
    <w:rsid w:val="00D75851"/>
    <w:rsid w:val="00D926B8"/>
    <w:rsid w:val="00D958D4"/>
    <w:rsid w:val="00DA2467"/>
    <w:rsid w:val="00DA376F"/>
    <w:rsid w:val="00DA38F2"/>
    <w:rsid w:val="00DC1927"/>
    <w:rsid w:val="00DD09F5"/>
    <w:rsid w:val="00DD3577"/>
    <w:rsid w:val="00DD51A5"/>
    <w:rsid w:val="00DE2906"/>
    <w:rsid w:val="00DE708F"/>
    <w:rsid w:val="00DF3B42"/>
    <w:rsid w:val="00DF6370"/>
    <w:rsid w:val="00E043C1"/>
    <w:rsid w:val="00E17B47"/>
    <w:rsid w:val="00E2275C"/>
    <w:rsid w:val="00E27FF5"/>
    <w:rsid w:val="00E35420"/>
    <w:rsid w:val="00E420B8"/>
    <w:rsid w:val="00E42938"/>
    <w:rsid w:val="00E60521"/>
    <w:rsid w:val="00E6719F"/>
    <w:rsid w:val="00E7585A"/>
    <w:rsid w:val="00E86998"/>
    <w:rsid w:val="00E87642"/>
    <w:rsid w:val="00E9206D"/>
    <w:rsid w:val="00E97F71"/>
    <w:rsid w:val="00EA2567"/>
    <w:rsid w:val="00EA5CBD"/>
    <w:rsid w:val="00EB57A7"/>
    <w:rsid w:val="00EC1CDD"/>
    <w:rsid w:val="00EC2696"/>
    <w:rsid w:val="00EC36F6"/>
    <w:rsid w:val="00EC7DEF"/>
    <w:rsid w:val="00ED0A81"/>
    <w:rsid w:val="00ED2F31"/>
    <w:rsid w:val="00EE4403"/>
    <w:rsid w:val="00EE7A29"/>
    <w:rsid w:val="00EF2418"/>
    <w:rsid w:val="00EF6C80"/>
    <w:rsid w:val="00F041CA"/>
    <w:rsid w:val="00F07D08"/>
    <w:rsid w:val="00F2165A"/>
    <w:rsid w:val="00F23F3F"/>
    <w:rsid w:val="00F24EBE"/>
    <w:rsid w:val="00F3049C"/>
    <w:rsid w:val="00F372BF"/>
    <w:rsid w:val="00F42212"/>
    <w:rsid w:val="00F46164"/>
    <w:rsid w:val="00F55EE6"/>
    <w:rsid w:val="00F7482E"/>
    <w:rsid w:val="00F93F53"/>
    <w:rsid w:val="00FA5484"/>
    <w:rsid w:val="00FC14B4"/>
    <w:rsid w:val="00FE1891"/>
    <w:rsid w:val="00FE321B"/>
    <w:rsid w:val="00FE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none" shadow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4F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40A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C40A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Placeholder Text"/>
    <w:basedOn w:val="a0"/>
    <w:uiPriority w:val="99"/>
    <w:semiHidden/>
    <w:rsid w:val="00C40AA6"/>
    <w:rPr>
      <w:color w:val="808080"/>
    </w:rPr>
  </w:style>
  <w:style w:type="paragraph" w:styleId="a6">
    <w:name w:val="header"/>
    <w:basedOn w:val="a"/>
    <w:link w:val="a7"/>
    <w:rsid w:val="00E67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6719F"/>
    <w:rPr>
      <w:kern w:val="2"/>
    </w:rPr>
  </w:style>
  <w:style w:type="paragraph" w:styleId="a8">
    <w:name w:val="footer"/>
    <w:basedOn w:val="a"/>
    <w:link w:val="a9"/>
    <w:uiPriority w:val="99"/>
    <w:rsid w:val="00E67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6719F"/>
    <w:rPr>
      <w:kern w:val="2"/>
    </w:rPr>
  </w:style>
  <w:style w:type="paragraph" w:styleId="aa">
    <w:name w:val="List Paragraph"/>
    <w:basedOn w:val="a"/>
    <w:uiPriority w:val="34"/>
    <w:qFormat/>
    <w:rsid w:val="00D27625"/>
    <w:pPr>
      <w:ind w:leftChars="200" w:left="480"/>
    </w:pPr>
  </w:style>
  <w:style w:type="character" w:styleId="ab">
    <w:name w:val="Hyperlink"/>
    <w:basedOn w:val="a0"/>
    <w:uiPriority w:val="99"/>
    <w:unhideWhenUsed/>
    <w:rsid w:val="00D276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c.edu.hk/math/Resource/AL/AGM_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2012-04-07T10:51:00Z</dcterms:created>
  <dcterms:modified xsi:type="dcterms:W3CDTF">2012-04-08T10:19:00Z</dcterms:modified>
</cp:coreProperties>
</file>